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84" w:rsidRDefault="00AC1184"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bookmarkStart w:id="0" w:name="_GoBack"/>
      <w:bookmarkEnd w:id="0"/>
      <w:r>
        <w:rPr>
          <w:rFonts w:ascii="Times New Roman" w:eastAsia="Times New Roman" w:hAnsi="Times New Roman" w:cs="Times New Roman"/>
          <w:b/>
          <w:i/>
          <w:color w:val="000000"/>
          <w:sz w:val="21"/>
          <w:szCs w:val="21"/>
        </w:rPr>
        <w:t>MODELLO3</w:t>
      </w:r>
    </w:p>
    <w:p w:rsidR="00DF7FA6" w:rsidRDefault="00DF7FA6"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rsidR="00AC1184" w:rsidRDefault="00AC1184">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w:t>
      </w:r>
      <w:r w:rsidR="001C6AE2">
        <w:rPr>
          <w:rFonts w:ascii="Times New Roman" w:eastAsia="Times New Roman" w:hAnsi="Times New Roman" w:cs="Times New Roman"/>
          <w:b/>
          <w:i/>
          <w:color w:val="000000"/>
          <w:sz w:val="21"/>
          <w:szCs w:val="21"/>
        </w:rPr>
        <w:t xml:space="preserve"> SOPRANNUMERARI PER L’ A.S. 2021/2</w:t>
      </w:r>
      <w:r>
        <w:rPr>
          <w:rFonts w:ascii="Times New Roman" w:eastAsia="Times New Roman" w:hAnsi="Times New Roman" w:cs="Times New Roman"/>
          <w:b/>
          <w:i/>
          <w:color w:val="000000"/>
          <w:sz w:val="21"/>
          <w:szCs w:val="21"/>
        </w:rPr>
        <w:t>2</w:t>
      </w:r>
    </w:p>
    <w:p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171DE6" w:rsidRDefault="00BF7655">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rsidR="00171DE6"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b/>
          <w:i/>
          <w:color w:val="000000"/>
          <w:sz w:val="21"/>
          <w:szCs w:val="21"/>
        </w:rPr>
        <w:t>DELL’I.C. DI GROTTAMINARDA</w:t>
      </w:r>
    </w:p>
    <w:p w:rsidR="004021BF" w:rsidRPr="000B61D2" w:rsidRDefault="004021BF"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Insegnante di scuola.............................................................................................(cl.di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trPr>
          <w:jc w:val="center"/>
        </w:trPr>
        <w:tc>
          <w:tcPr>
            <w:tcW w:w="7236"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primi 4 anni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trPr>
          <w:trHeight w:val="489"/>
        </w:trPr>
        <w:tc>
          <w:tcPr>
            <w:tcW w:w="7193"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671"/>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4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70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trPr>
          <w:trHeight w:val="604"/>
        </w:trPr>
        <w:tc>
          <w:tcPr>
            <w:tcW w:w="8062"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70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84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3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62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59"/>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7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titolo)                          (Punti 5)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16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217"/>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54"/>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83"/>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6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567"/>
        </w:trPr>
        <w:tc>
          <w:tcPr>
            <w:tcW w:w="8062" w:type="dxa"/>
            <w:vAlign w:val="center"/>
          </w:tcPr>
          <w:p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w:t>
      </w:r>
      <w:r>
        <w:rPr>
          <w:rFonts w:ascii="Times New Roman" w:eastAsia="Times New Roman" w:hAnsi="Times New Roman" w:cs="Times New Roman"/>
          <w:color w:val="000000"/>
          <w:sz w:val="18"/>
          <w:szCs w:val="18"/>
        </w:rPr>
        <w:lastRenderedPageBreak/>
        <w:t xml:space="preserve">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w:t>
      </w:r>
      <w:r>
        <w:rPr>
          <w:rFonts w:ascii="Times New Roman" w:eastAsia="Times New Roman" w:hAnsi="Times New Roman" w:cs="Times New Roman"/>
          <w:color w:val="000000"/>
          <w:sz w:val="18"/>
          <w:szCs w:val="18"/>
        </w:rPr>
        <w:lastRenderedPageBreak/>
        <w:t>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legis</w:t>
      </w:r>
      <w:proofErr w:type="spellEnd"/>
      <w:r>
        <w:rPr>
          <w:rFonts w:ascii="Times New Roman" w:eastAsia="Times New Roman" w:hAnsi="Times New Roman" w:cs="Times New Roman"/>
          <w:color w:val="000000"/>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171DE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E6"/>
    <w:rsid w:val="000B61D2"/>
    <w:rsid w:val="00140C49"/>
    <w:rsid w:val="00171DE6"/>
    <w:rsid w:val="001A4154"/>
    <w:rsid w:val="001C6AE2"/>
    <w:rsid w:val="003C391B"/>
    <w:rsid w:val="004021BF"/>
    <w:rsid w:val="004675DA"/>
    <w:rsid w:val="004D0EC2"/>
    <w:rsid w:val="00AC1184"/>
    <w:rsid w:val="00B57D68"/>
    <w:rsid w:val="00BF7655"/>
    <w:rsid w:val="00DC5B68"/>
    <w:rsid w:val="00DF7FA6"/>
    <w:rsid w:val="00EE1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CellMar>
        <w:top w:w="0" w:type="dxa"/>
        <w:left w:w="0" w:type="dxa"/>
        <w:bottom w:w="0" w:type="dxa"/>
        <w:right w:w="0" w:type="dxa"/>
      </w:tblCellMar>
    </w:tblPr>
  </w:style>
  <w:style w:type="table" w:customStyle="1" w:styleId="a0">
    <w:basedOn w:val="TableNormal"/>
    <w:rsid w:val="00171DE6"/>
    <w:tblPr>
      <w:tblStyleRowBandSize w:val="1"/>
      <w:tblStyleColBandSize w:val="1"/>
      <w:tblCellMar>
        <w:top w:w="0" w:type="dxa"/>
        <w:left w:w="0" w:type="dxa"/>
        <w:bottom w:w="0" w:type="dxa"/>
        <w:right w:w="0" w:type="dxa"/>
      </w:tblCellMar>
    </w:tblPr>
  </w:style>
  <w:style w:type="table" w:customStyle="1" w:styleId="a1">
    <w:basedOn w:val="TableNormal"/>
    <w:rsid w:val="00171DE6"/>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CellMar>
        <w:top w:w="0" w:type="dxa"/>
        <w:left w:w="0" w:type="dxa"/>
        <w:bottom w:w="0" w:type="dxa"/>
        <w:right w:w="0" w:type="dxa"/>
      </w:tblCellMar>
    </w:tblPr>
  </w:style>
  <w:style w:type="table" w:customStyle="1" w:styleId="a0">
    <w:basedOn w:val="TableNormal"/>
    <w:rsid w:val="00171DE6"/>
    <w:tblPr>
      <w:tblStyleRowBandSize w:val="1"/>
      <w:tblStyleColBandSize w:val="1"/>
      <w:tblCellMar>
        <w:top w:w="0" w:type="dxa"/>
        <w:left w:w="0" w:type="dxa"/>
        <w:bottom w:w="0" w:type="dxa"/>
        <w:right w:w="0" w:type="dxa"/>
      </w:tblCellMar>
    </w:tblPr>
  </w:style>
  <w:style w:type="table" w:customStyle="1" w:styleId="a1">
    <w:basedOn w:val="TableNormal"/>
    <w:rsid w:val="00171DE6"/>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8070</Words>
  <Characters>46004</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53967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Open-e</dc:creator>
  <cp:lastModifiedBy>Windows</cp:lastModifiedBy>
  <cp:revision>2</cp:revision>
  <dcterms:created xsi:type="dcterms:W3CDTF">2021-03-31T12:35:00Z</dcterms:created>
  <dcterms:modified xsi:type="dcterms:W3CDTF">2021-03-31T12:35:00Z</dcterms:modified>
</cp:coreProperties>
</file>